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>
    <v:background id="_x0000_s1025" fillcolor="#FFFFFF"/>
  </w:background>
  <w:body>
    <w:p>
      <w:pPr>
        <w:pStyle w:val="UserStyle_5"/>
        <w:jc w:val="right"/>
      </w:pPr>
      <w:r>
        <w:rPr>
          <w:b w:val="0"/>
          <w:bCs w:val="0"/>
        </w:rPr>
        <w:t xml:space="preserve">ПРИЛОЖЕНИЕ 2</w:t>
      </w:r>
    </w:p>
    <w:p>
      <w:pPr>
        <w:pStyle w:val="UserStyle_5"/>
        <w:jc w:val="right"/>
      </w:pPr>
      <w:r>
        <w:rPr>
          <w:b w:val="0"/>
          <w:bCs w:val="0"/>
        </w:rPr>
        <w:t xml:space="preserve">к решению Думы Белоярского района</w:t>
      </w:r>
    </w:p>
    <w:p>
      <w:pPr>
        <w:pStyle w:val="UserStyle_5"/>
        <w:jc w:val="right"/>
      </w:pPr>
      <w:r>
        <w:rPr>
          <w:b w:val="0"/>
          <w:bCs w:val="0"/>
        </w:rPr>
        <w:t xml:space="preserve">от     декабря 202</w:t>
      </w:r>
      <w:r>
        <w:rPr>
          <w:b w:val="0"/>
          <w:bCs w:val="0"/>
        </w:rPr>
        <w:t xml:space="preserve">5</w:t>
      </w:r>
      <w:r>
        <w:rPr>
          <w:b w:val="0"/>
          <w:bCs w:val="0"/>
        </w:rPr>
        <w:t xml:space="preserve"> года №</w:t>
      </w:r>
    </w:p>
    <w:p>
      <w:pPr>
        <w:pStyle w:val="UserStyle_5"/>
        <w:jc w:val="right"/>
      </w:pPr>
    </w:p>
    <w:p>
      <w:pPr>
        <w:pStyle w:val="UserStyle_5"/>
        <w:jc w:val="right"/>
        <w:rPr>
          <w:b w:val="0"/>
          <w:bCs w:val="0"/>
        </w:rPr>
      </w:pPr>
      <w:r>
        <w:rPr>
          <w:b w:val="0"/>
          <w:bCs w:val="0"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</w:pPr>
      <w:r>
        <w:rPr>
          <w:b/>
          <w:bCs/>
        </w:rPr>
        <w:t xml:space="preserve">Верхний предел муниципального внутреннего долга</w:t>
      </w:r>
    </w:p>
    <w:p>
      <w:pPr>
        <w:pStyle w:val="Normal"/>
        <w:jc w:val="center"/>
      </w:pPr>
      <w:r>
        <w:rPr>
          <w:b/>
          <w:bCs/>
        </w:rPr>
        <w:t xml:space="preserve"> Белоярского района </w:t>
      </w:r>
      <w:r>
        <w:rPr>
          <w:b/>
        </w:rPr>
        <w:t xml:space="preserve">по состоянию на 1 января 202</w:t>
      </w:r>
      <w:r>
        <w:rPr>
          <w:b/>
        </w:rPr>
        <w:t xml:space="preserve">7</w:t>
      </w:r>
      <w:r>
        <w:rPr>
          <w:b/>
        </w:rPr>
        <w:t xml:space="preserve"> года, на 1 января 202</w:t>
      </w:r>
      <w:r>
        <w:rPr>
          <w:b/>
        </w:rPr>
        <w:t xml:space="preserve">8</w:t>
      </w:r>
      <w:r>
        <w:rPr>
          <w:b/>
        </w:rPr>
        <w:t xml:space="preserve"> года и </w:t>
      </w:r>
    </w:p>
    <w:p>
      <w:pPr>
        <w:pStyle w:val="Normal"/>
        <w:jc w:val="center"/>
      </w:pPr>
      <w:r>
        <w:rPr>
          <w:b/>
        </w:rPr>
        <w:t xml:space="preserve">на 1 января 202</w:t>
      </w:r>
      <w:r>
        <w:rPr>
          <w:b/>
          <w:lang w:val="en-US"/>
        </w:rPr>
        <w:t xml:space="preserve">9</w:t>
      </w:r>
      <w:r>
        <w:rPr>
          <w:b/>
        </w:rPr>
        <w:t xml:space="preserve"> года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ind w:left="-744"/>
        <w:jc w:val="right"/>
      </w:pPr>
      <w:r>
        <w:t xml:space="preserve">(рублей)</w:t>
      </w:r>
    </w:p>
    <w:tbl>
      <w:tblPr>
        <w:tblW w:w="0" w:type="auto"/>
        <w:tblInd w:w="1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576"/>
        <w:gridCol w:w="2915"/>
        <w:gridCol w:w="1985"/>
        <w:gridCol w:w="1984"/>
        <w:gridCol w:w="2045"/>
      </w:tblGrid>
      <w:tr>
        <w:trPr>
          <w:cantSplit/>
          <w:trHeight w:val="764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№</w:t>
            </w:r>
          </w:p>
          <w:p>
            <w:pPr>
              <w:pStyle w:val="Normal"/>
              <w:jc w:val="center"/>
            </w:pPr>
            <w:r>
              <w:rPr>
                <w:b/>
              </w:rPr>
              <w:t xml:space="preserve">п/п</w:t>
            </w:r>
          </w:p>
        </w:tc>
        <w:tc>
          <w:tcPr>
            <w:tcW w:w="2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Вид долгового обязательства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на 1 января 202</w:t>
            </w:r>
            <w:r>
              <w:rPr>
                <w:b/>
              </w:rPr>
              <w:t xml:space="preserve">7</w:t>
            </w:r>
            <w:r>
              <w:rPr>
                <w:b/>
              </w:rPr>
              <w:t xml:space="preserve"> года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на 1 января 202</w:t>
            </w:r>
            <w:r>
              <w:rPr>
                <w:b/>
              </w:rPr>
              <w:t xml:space="preserve">8</w:t>
            </w:r>
            <w:r>
              <w:rPr>
                <w:b/>
              </w:rPr>
              <w:t xml:space="preserve"> года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на 1 января </w:t>
            </w:r>
          </w:p>
          <w:p>
            <w:pPr>
              <w:pStyle w:val="Normal"/>
              <w:jc w:val="center"/>
            </w:pPr>
            <w:r>
              <w:rPr>
                <w:b/>
              </w:rPr>
              <w:t xml:space="preserve">202</w:t>
            </w:r>
            <w:r>
              <w:rPr>
                <w:b/>
              </w:rPr>
              <w:t xml:space="preserve">9</w:t>
            </w:r>
            <w:r>
              <w:rPr>
                <w:b/>
              </w:rPr>
              <w:t xml:space="preserve"> года</w:t>
            </w:r>
          </w:p>
        </w:tc>
      </w:tr>
      <w:tr>
        <w:trPr>
          <w:cantSplit/>
          <w:trHeight w:val="390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1</w:t>
            </w:r>
          </w:p>
        </w:tc>
        <w:tc>
          <w:tcPr>
            <w:tcW w:w="2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3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4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5</w:t>
            </w:r>
          </w:p>
        </w:tc>
      </w:tr>
      <w:tr>
        <w:trPr>
          <w:cantSplit/>
          <w:trHeight w:val="870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</w:r>
          </w:p>
          <w:p>
            <w:pPr>
              <w:pStyle w:val="Normal"/>
              <w:jc w:val="center"/>
            </w:pPr>
            <w:r>
              <w:rPr>
                <w:b/>
                <w:lang w:val="en-US"/>
              </w:rPr>
              <w:t xml:space="preserve">1</w:t>
            </w:r>
          </w:p>
        </w:tc>
        <w:tc>
          <w:tcPr>
            <w:tcW w:w="2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b/>
              </w:rPr>
              <w:t xml:space="preserve">Всего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345 799 300,00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422</w:t>
            </w:r>
            <w:r>
              <w:rPr>
                <w:b/>
                <w:bCs/>
                <w:lang w:val="en-US"/>
              </w:rPr>
              <w:t xml:space="preserve"> </w:t>
            </w:r>
            <w:r>
              <w:rPr>
                <w:b/>
                <w:bCs/>
              </w:rPr>
              <w:t xml:space="preserve">031</w:t>
            </w:r>
            <w:r>
              <w:rPr>
                <w:b/>
                <w:bCs/>
                <w:lang w:val="en-US"/>
              </w:rPr>
              <w:t xml:space="preserve">  </w:t>
            </w:r>
            <w:r>
              <w:rPr>
                <w:b/>
                <w:bCs/>
              </w:rPr>
              <w:t xml:space="preserve">300,00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438 912 400,00</w:t>
            </w:r>
          </w:p>
        </w:tc>
      </w:tr>
      <w:tr>
        <w:trPr/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1.1</w:t>
            </w:r>
          </w:p>
        </w:tc>
        <w:tc>
          <w:tcPr>
            <w:tcW w:w="2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в том числе</w:t>
            </w:r>
          </w:p>
          <w:p>
            <w:pPr>
              <w:pStyle w:val="Normal"/>
            </w:pPr>
            <w:r>
              <w:t xml:space="preserve">бюджетные кредиты, полученные от бюджетов других уровней бюджетной системы Российской Федерации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 xml:space="preserve">345 799 300,00</w:t>
            </w:r>
            <w:r>
              <w:rPr>
                <w:bCs/>
              </w:rPr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 xml:space="preserve">422</w:t>
            </w:r>
            <w:r>
              <w:rPr>
                <w:bCs/>
                <w:lang w:val="en-US"/>
              </w:rPr>
              <w:t xml:space="preserve"> </w:t>
            </w:r>
            <w:r>
              <w:rPr>
                <w:bCs/>
              </w:rPr>
              <w:t xml:space="preserve">031</w:t>
            </w:r>
            <w:r>
              <w:rPr>
                <w:bCs/>
                <w:lang w:val="en-US"/>
              </w:rPr>
              <w:t xml:space="preserve"> </w:t>
            </w:r>
            <w:r>
              <w:rPr>
                <w:bCs/>
              </w:rPr>
              <w:t xml:space="preserve">300,00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 xml:space="preserve">438 912 400,00</w:t>
            </w:r>
            <w:r>
              <w:rPr>
                <w:bCs/>
              </w:rPr>
            </w:r>
          </w:p>
        </w:tc>
      </w:tr>
      <w:tr>
        <w:trPr/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1.2</w:t>
            </w:r>
          </w:p>
        </w:tc>
        <w:tc>
          <w:tcPr>
            <w:tcW w:w="2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Муниципальные гарантии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0,00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0,00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0,00</w:t>
            </w:r>
          </w:p>
        </w:tc>
      </w:tr>
    </w:tbl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 xml:space="preserve">_________________</w:t>
      </w:r>
    </w:p>
    <w:sectPr>
      <w:headerReference w:type="first" r:id="rId6"/>
      <w:footnotePr>
        <w:pos w:val="beneathText"/>
      </w:footnotePr>
      <w:type w:val="nextPage"/>
      <w:pgSz w:w="11906" w:h="16838"/>
      <w:pgMar w:top="1418" w:right="851" w:bottom="1134" w:left="1559" w:header="720" w:footer="720" w:gutter="0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Liberation Sans">
    <w:panose1 w:val="020B0604020202020204"/>
  </w:font>
  <w:font w:name="Tahoma">
    <w:panose1 w:val="020B0604030504040204"/>
  </w:font>
  <w:font w:name="Mangal">
    <w:panose1 w:val="02040503050201020203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t xml:space="preserve">22</w:t>
    </w:r>
  </w:p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uiPriority w:val="7"/>
    <w:qFormat/>
    <w:rPr>
      <w:sz w:val="24"/>
      <w:szCs w:val="24"/>
      <w:lang w:val="ru-RU" w:eastAsia="zh-CN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BodyText">
    <w:name w:val="Основной текст"/>
    <w:basedOn w:val="Normal"/>
    <w:next w:val="BodyText"/>
    <w:link w:val="Normal"/>
    <w:uiPriority w:val="67"/>
    <w:pPr>
      <w:spacing w:before="0" w:after="140" w:line="276" w:lineRule="auto"/>
    </w:pPr>
  </w:style>
  <w:style w:type="paragraph" w:styleId="List">
    <w:name w:val="Список"/>
    <w:basedOn w:val="BodyText"/>
    <w:next w:val="List"/>
    <w:link w:val="Normal"/>
    <w:uiPriority w:val="67"/>
    <w:rPr>
      <w:rFonts w:cs="Mangal"/>
    </w:rPr>
  </w:style>
  <w:style w:type="paragraph" w:styleId="Subtitle">
    <w:name w:val="Подзаголовок"/>
    <w:basedOn w:val="Normal"/>
    <w:next w:val="BodyText"/>
    <w:link w:val="Normal"/>
    <w:uiPriority w:val="67"/>
    <w:qFormat/>
    <w:pPr>
      <w:jc w:val="center"/>
    </w:pPr>
    <w:rPr>
      <w:b/>
      <w:bCs/>
    </w:rPr>
  </w:style>
  <w:style w:type="character" w:styleId="UserStyle_0">
    <w:name w:val="Основной шрифт абзаца11"/>
    <w:next w:val="UserStyle_0"/>
    <w:link w:val="Normal"/>
    <w:uiPriority w:val="67"/>
  </w:style>
  <w:style w:type="character" w:styleId="UserStyle_1">
    <w:name w:val="Основной шрифт абзаца1"/>
    <w:next w:val="UserStyle_1"/>
    <w:link w:val="Normal"/>
    <w:uiPriority w:val="67"/>
  </w:style>
  <w:style w:type="character" w:styleId="UserStyle_2">
    <w:name w:val="Текст выноски Знак"/>
    <w:next w:val="UserStyle_2"/>
    <w:link w:val="Normal"/>
    <w:uiPriority w:val="67"/>
    <w:rPr>
      <w:rFonts w:ascii="Tahoma" w:hAnsi="Tahoma" w:cs="Tahoma"/>
      <w:sz w:val="16"/>
      <w:szCs w:val="16"/>
    </w:rPr>
  </w:style>
  <w:style w:type="paragraph" w:styleId="UserStyle_3">
    <w:name w:val="Заголовок2"/>
    <w:basedOn w:val="Normal"/>
    <w:next w:val="BodyText"/>
    <w:link w:val="Normal"/>
    <w:uiPriority w:val="6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Style_4">
    <w:name w:val="Указатель11"/>
    <w:basedOn w:val="Normal"/>
    <w:next w:val="UserStyle_4"/>
    <w:link w:val="Normal"/>
    <w:uiPriority w:val="67"/>
    <w:pPr>
      <w:suppressLineNumbers/>
    </w:pPr>
    <w:rPr>
      <w:rFonts w:cs="Mangal"/>
    </w:rPr>
  </w:style>
  <w:style w:type="paragraph" w:styleId="UserStyle_5">
    <w:name w:val="Заголовок1"/>
    <w:basedOn w:val="Normal"/>
    <w:next w:val="BodyText"/>
    <w:link w:val="Normal"/>
    <w:uiPriority w:val="67"/>
    <w:pPr>
      <w:jc w:val="center"/>
    </w:pPr>
    <w:rPr>
      <w:b/>
      <w:bCs/>
    </w:rPr>
  </w:style>
  <w:style w:type="paragraph" w:styleId="UserStyle_6">
    <w:name w:val="Название объекта1"/>
    <w:basedOn w:val="Normal"/>
    <w:next w:val="UserStyle_6"/>
    <w:link w:val="Normal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7">
    <w:name w:val="Указатель1"/>
    <w:basedOn w:val="Normal"/>
    <w:next w:val="UserStyle_7"/>
    <w:link w:val="Normal"/>
    <w:uiPriority w:val="67"/>
    <w:pPr>
      <w:suppressLineNumbers/>
    </w:pPr>
    <w:rPr>
      <w:rFonts w:cs="Mangal"/>
    </w:rPr>
  </w:style>
  <w:style w:type="paragraph" w:styleId="UserStyle_8">
    <w:name w:val="Текст выноски1"/>
    <w:basedOn w:val="Normal"/>
    <w:next w:val="UserStyle_8"/>
    <w:link w:val="Normal"/>
    <w:uiPriority w:val="67"/>
    <w:rPr>
      <w:rFonts w:ascii="Tahoma" w:hAnsi="Tahoma" w:cs="Tahoma"/>
      <w:sz w:val="16"/>
      <w:szCs w:val="16"/>
    </w:rPr>
  </w:style>
  <w:style w:type="paragraph" w:styleId="UserStyle_9">
    <w:name w:val="Содержимое таблицы"/>
    <w:basedOn w:val="Normal"/>
    <w:next w:val="UserStyle_9"/>
    <w:link w:val="Normal"/>
    <w:uiPriority w:val="67"/>
    <w:pPr>
      <w:widowControl w:val="off"/>
      <w:suppressLineNumbers/>
    </w:pPr>
  </w:style>
  <w:style w:type="paragraph" w:styleId="UserStyle_10">
    <w:name w:val="Заголовок таблицы"/>
    <w:basedOn w:val="UserStyle_9"/>
    <w:next w:val="UserStyle_10"/>
    <w:link w:val="Normal"/>
    <w:uiPriority w:val="67"/>
    <w:pPr>
      <w:suppressLineNumbers/>
      <w:jc w:val="center"/>
    </w:pPr>
    <w:rPr>
      <w:b/>
      <w:bCs/>
    </w:rPr>
  </w:style>
  <w:style w:type="paragraph" w:styleId="Acetate">
    <w:name w:val="Текст выноски"/>
    <w:basedOn w:val="Normal"/>
    <w:next w:val="Acetate"/>
    <w:link w:val="UserStyle_11"/>
    <w:rPr>
      <w:rFonts w:ascii="Segoe UI" w:hAnsi="Segoe UI" w:cs="Segoe UI"/>
      <w:sz w:val="18"/>
      <w:szCs w:val="18"/>
    </w:rPr>
  </w:style>
  <w:style w:type="character" w:styleId="UserStyle_11">
    <w:name w:val="Текст выноски Знак1"/>
    <w:next w:val="UserStyle_11"/>
    <w:link w:val="Acetate"/>
    <w:rPr>
      <w:rFonts w:ascii="Segoe UI" w:hAnsi="Segoe UI" w:cs="Segoe UI"/>
      <w:sz w:val="18"/>
      <w:szCs w:val="18"/>
      <w:lang w:eastAsia="zh-CN"/>
    </w:rPr>
  </w:style>
  <w:style w:type="paragraph" w:styleId="Header">
    <w:name w:val="Верхний колонтитул"/>
    <w:basedOn w:val="Normal"/>
    <w:next w:val="Header"/>
    <w:link w:val="UserStyle_12"/>
    <w:uiPriority w:val="99"/>
    <w:pPr>
      <w:tabs>
        <w:tab w:val="center" w:pos="4677" w:leader="none"/>
        <w:tab w:val="right" w:pos="9355" w:leader="none"/>
      </w:tabs>
    </w:pPr>
  </w:style>
  <w:style w:type="character" w:styleId="UserStyle_12">
    <w:name w:val="Верхний колонтитул Знак"/>
    <w:next w:val="UserStyle_12"/>
    <w:link w:val="Header"/>
    <w:uiPriority w:val="99"/>
    <w:rPr>
      <w:sz w:val="24"/>
      <w:szCs w:val="24"/>
      <w:lang w:eastAsia="zh-CN"/>
    </w:rPr>
  </w:style>
  <w:style w:type="paragraph" w:styleId="Footer">
    <w:name w:val="Нижний колонтитул"/>
    <w:basedOn w:val="Normal"/>
    <w:next w:val="Footer"/>
    <w:link w:val="UserStyle_13"/>
    <w:pPr>
      <w:tabs>
        <w:tab w:val="center" w:pos="4677" w:leader="none"/>
        <w:tab w:val="right" w:pos="9355" w:leader="none"/>
      </w:tabs>
    </w:pPr>
  </w:style>
  <w:style w:type="character" w:styleId="UserStyle_13">
    <w:name w:val="Нижний колонтитул Знак"/>
    <w:next w:val="UserStyle_13"/>
    <w:link w:val="Footer"/>
    <w:rPr>
      <w:sz w:val="24"/>
      <w:szCs w:val="24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eader" Target="header1.xml" 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536</Characters>
  <CharactersWithSpaces>628</CharactersWithSpaces>
  <DocSecurity>0</DocSecurity>
  <HyperlinksChanged>false</HyperlinksChanged>
  <Lines>4</Lines>
  <Pages>1</Pages>
  <Paragraphs>1</Paragraphs>
  <ScaleCrop>false</ScaleCrop>
  <SharedDoc>false</SharedDoc>
  <Template>Normal.dotm</Template>
  <Words>93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GorelikovaAU</cp:lastModifiedBy>
  <cp:revision>23</cp:revision>
  <dcterms:created xsi:type="dcterms:W3CDTF">1995-11-21T12:41:00Z</dcterms:created>
  <dcterms:modified xsi:type="dcterms:W3CDTF">2025-11-19T10:24:00Z</dcterms:modified>
  <cp:version>1048576</cp:version>
</cp:coreProperties>
</file>